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75B" w:rsidRDefault="00FF775B" w:rsidP="00FF775B">
      <w:pPr>
        <w:rPr>
          <w:rFonts w:ascii="Times New Roman" w:hAnsi="Times New Roman" w:cs="Times New Roman"/>
          <w:i/>
          <w:sz w:val="24"/>
          <w:szCs w:val="24"/>
        </w:rPr>
      </w:pPr>
    </w:p>
    <w:p w:rsidR="00FF775B" w:rsidRPr="00FF775B" w:rsidRDefault="00541F57" w:rsidP="00FF775B">
      <w:pPr>
        <w:rPr>
          <w:i/>
        </w:rPr>
      </w:pPr>
      <w:r w:rsidRPr="00FF775B">
        <w:rPr>
          <w:rFonts w:ascii="Times New Roman" w:hAnsi="Times New Roman" w:cs="Times New Roman"/>
          <w:i/>
          <w:sz w:val="24"/>
          <w:szCs w:val="24"/>
        </w:rPr>
        <w:t xml:space="preserve"> </w:t>
      </w:r>
      <w:r w:rsidR="00FF775B" w:rsidRPr="00FF775B">
        <w:rPr>
          <w:i/>
        </w:rPr>
        <w:t>Права дворян</w:t>
      </w:r>
    </w:p>
    <w:p w:rsidR="00FF775B" w:rsidRPr="00AA34F8" w:rsidRDefault="00FF775B" w:rsidP="00FF775B">
      <w:r w:rsidRPr="00AA34F8">
        <w:t>Потомственные дворяне получали ряд важных личных прав: освобождались от подушной подати, рекрутской повинности, от телесных наказаний, могли принимать участие в сословной организации дворянства ; обязанность служить являлась для них также преимущественным правом на государственную службу; дети дворян пользовались льготами при получении образования.</w:t>
      </w:r>
    </w:p>
    <w:p w:rsidR="00FF775B" w:rsidRPr="00AA34F8" w:rsidRDefault="00FF775B" w:rsidP="00FF775B">
      <w:r w:rsidRPr="00AA34F8">
        <w:t>И поместное, и служилое дворянство было потомственным, то есть передавалось жене, детям и дальним потомкам по мужской линии (дочери, вышедши замуж, получали сословный статус мужа). Больным был вопрос о статусе законных детей потомственного дворянина, рожденных до получения дворянства. Из них потомственное дворянство мог получить «только один сын, о котором отец будет просить».</w:t>
      </w:r>
    </w:p>
    <w:p w:rsidR="00FF775B" w:rsidRPr="00AA34F8" w:rsidRDefault="00FF775B" w:rsidP="00FF775B">
      <w:r w:rsidRPr="00AA34F8">
        <w:t>Особую группу составляли личные (не потомственные) дворяне. Престиж личного дворянства, впервые появившегося вместе с Табелью о рангах был минимален. За малым исключением личные дворяне не имели права владения крепостными. Личное дворянство распространялось только на жену. Дети личных дворян пользовались статусом «обер-офицерских детей».</w:t>
      </w:r>
    </w:p>
    <w:p w:rsidR="00FF775B" w:rsidRPr="00AA34F8" w:rsidRDefault="00FF775B" w:rsidP="00FF775B">
      <w:r w:rsidRPr="00AA34F8">
        <w:t>Совершеннолетние потомственные дворяне каждой губернии (мужского пола) образовывали дворянское общество, члены которого (внесенные в губернские родословные книги и обладавшие определенным имущественным цензом) пользовались правом участия в собраниях (обычно раз в три года) для обсуждения нужд общества (с правом обращения к правительству с ходатайством о местных нуждах) и выборов предводителей губернского дворянства. Губернские предводители дворянства вместе с представителями от рядовых дворян губернии образовывали депутатские собрания – высший орган дворянства между губернскими собраниями. Губернские предводители относились к 5 классу и получали соответствующие права. На предводителей дворянства возлагалось наблюдение за «нравственностью» дворян, осуществление по отношению к ним дисциплинарных мер (например, участие в наложении опек на имения), выдача дворянам характеристик, необходимых при поступлении на государственную службу.</w:t>
      </w:r>
    </w:p>
    <w:p w:rsidR="00FF775B" w:rsidRPr="00AA34F8" w:rsidRDefault="00FF775B" w:rsidP="00FF775B">
      <w:r w:rsidRPr="00AA34F8">
        <w:t>Хотя по закону личные дворяне входили в состав дворянских обществ, правом участия в дворянских собраниях они не обладали.</w:t>
      </w:r>
    </w:p>
    <w:p w:rsidR="00FF775B" w:rsidRDefault="00FF775B" w:rsidP="00FF775B">
      <w:r w:rsidRPr="00AA34F8">
        <w:t>При обращении к дворянину частный титул заменялся предикатом господин (госпожа). В неофициальной ситуации предикат господин часто заменялся предикатом государь (государыня), но только в словосочетаниях милостивый государь или государь мой НН, либо использовался в сокращенной форме сударь (сударыня). Форма эта долгое время считалась бытовой, не употреблялась в документах и с трудом проникала в «высший свет». Предикат господин обычно не употреблялся без фамилии (это было возможно лишь во множественном числе); формула милостивый государь могла быть и безымянной; предикат сударь применялся только как безымянный.</w:t>
      </w:r>
    </w:p>
    <w:p w:rsidR="00FF775B" w:rsidRDefault="00FF775B">
      <w:pPr>
        <w:rPr>
          <w:i/>
        </w:rPr>
      </w:pPr>
      <w:r>
        <w:rPr>
          <w:i/>
        </w:rPr>
        <w:br w:type="page"/>
      </w:r>
    </w:p>
    <w:p w:rsidR="00FF775B" w:rsidRPr="00FF775B" w:rsidRDefault="00FF775B" w:rsidP="00FF775B">
      <w:pPr>
        <w:rPr>
          <w:i/>
        </w:rPr>
      </w:pPr>
      <w:r w:rsidRPr="00FF775B">
        <w:rPr>
          <w:i/>
        </w:rPr>
        <w:lastRenderedPageBreak/>
        <w:t>Русская именная формула</w:t>
      </w:r>
    </w:p>
    <w:p w:rsidR="00FF775B" w:rsidRPr="00AA34F8" w:rsidRDefault="00FF775B" w:rsidP="00FF775B">
      <w:r w:rsidRPr="00AA34F8">
        <w:t>Неправильное или в унизительной форме написание «чьего-либо имени или прозвища» могло повлечь обвинение в нанесении «бесчестья».</w:t>
      </w:r>
    </w:p>
    <w:p w:rsidR="00FF775B" w:rsidRPr="00AA34F8" w:rsidRDefault="00FF775B" w:rsidP="00FF775B">
      <w:r w:rsidRPr="00AA34F8">
        <w:t>Имена в зависимости от их социальной принадлежности употреблялись в трех видах: в полной форме (Василий), в качестве так называемого полуимени (Васюк) и в уничижительной форме (Васька). Пользование полным именем являлось прерогативой дворян; полуимя в повседневной жизни было признаком принадлежности к неблагородным сословиям.</w:t>
      </w:r>
    </w:p>
    <w:p w:rsidR="00FF775B" w:rsidRPr="00AA34F8" w:rsidRDefault="00FF775B" w:rsidP="00FF775B">
      <w:r w:rsidRPr="00AA34F8">
        <w:t>Отчество в составе русской именной формулы выполняло тройную функцию: дополняло имя, отличая его обладателя (в дополнение к фамилии) от тезки, проясняло родство в кругу семьи (отец – сын) и выражало почтение (формула вежливости). Отчество могло иметь две формы: Петр Иванов сын и Петр Иванович.</w:t>
      </w:r>
    </w:p>
    <w:p w:rsidR="00FF775B" w:rsidRPr="00AA34F8" w:rsidRDefault="00FF775B" w:rsidP="00FF775B">
      <w:r w:rsidRPr="00AA34F8">
        <w:t>Как правило, русские фамилии – одинарные и предавались только по мужской линии.</w:t>
      </w:r>
    </w:p>
    <w:p w:rsidR="00FF775B" w:rsidRPr="00AA34F8" w:rsidRDefault="00FF775B" w:rsidP="00FF775B">
      <w:r w:rsidRPr="00AA34F8">
        <w:t>По закону внебрачные дети дворян не имели права ни на дворянство, ни на фамилию отца. Причем по особым ходатайствам дворянство для них оказывалось получить легче, чем фамилию. Возникала необходимость создавать новые фамилии. Фамилии эти выкраивались из родовых прозваний отцов. Так, сын князя Репнина, получил фамилию Пнин, а сын князя Трубецкого – Бецкой.</w:t>
      </w:r>
    </w:p>
    <w:p w:rsidR="00FF775B" w:rsidRPr="00FF775B" w:rsidRDefault="00FF775B" w:rsidP="00FF775B">
      <w:r w:rsidRPr="00AA34F8">
        <w:t xml:space="preserve">Употребление именной формулы в армии и флоте имело ту особенность, что для краткости в официальных документах имя и отчество (и даже инициалы), а также чин не назывались, а к фамилии добавлялся номер. Номер этот отличал данного офицера от его однофамильцев в общих списках по армии. </w:t>
      </w:r>
      <w:r w:rsidRPr="00FF775B">
        <w:t>(известны генералы Тучковы 1-й, 2-й, 4-й.)</w:t>
      </w:r>
    </w:p>
    <w:p w:rsidR="00FF775B" w:rsidRDefault="00FF775B" w:rsidP="00FF775B"/>
    <w:p w:rsidR="00FF775B" w:rsidRDefault="00FF775B">
      <w:pPr>
        <w:rPr>
          <w:i/>
        </w:rPr>
      </w:pPr>
      <w:r>
        <w:rPr>
          <w:i/>
        </w:rPr>
        <w:br w:type="page"/>
      </w:r>
    </w:p>
    <w:p w:rsidR="00FF775B" w:rsidRPr="00FF775B" w:rsidRDefault="00FF775B" w:rsidP="00FF775B">
      <w:pPr>
        <w:rPr>
          <w:i/>
        </w:rPr>
      </w:pPr>
      <w:r w:rsidRPr="00FF775B">
        <w:rPr>
          <w:i/>
        </w:rPr>
        <w:lastRenderedPageBreak/>
        <w:t>Дворянские</w:t>
      </w:r>
      <w:r>
        <w:rPr>
          <w:i/>
        </w:rPr>
        <w:t xml:space="preserve"> роды</w:t>
      </w:r>
    </w:p>
    <w:p w:rsidR="00FF775B" w:rsidRDefault="00FF775B" w:rsidP="00FF775B">
      <w:r>
        <w:t>Гриневичи - ряд старинных дворянских родов, большей частью шляхетского происхождения. Древнейший род Гриневичей ведет начало от бояр Павла и Ильи Гриневых, жалованных вотчинами в 1551 г., и записан в VI часть родословных книг Минской и Могилевской губерний. Второй род имеет родоначальником Войцеха, владевшего поместьем в Белоруссии в 1574 г. Потомство их записано в I часть родословных книг Виленской, Витебской и Ковенской губерний. Еще три шляхетских рода, восходящих ко второй половине XVII в., записаны в VI и I части родословных книг Виленской, Ковенской и Минской губерний. Есть еще три старинных русских дворянских рода Гриневичей: 1) От Онуфрия Гриневича (XVI в.) и его правнуков Игнатия и Ивана Кирилловичей Гриневичей; записан в I часть родословной книги Черниговской губернии. 2) От Лезко Гриневича, владевшего поместьем в Ковенском уезде с 1650 г., и его внука - Филона Парфеновича; записан в VI часть родословной книги Черниговской губернии, но Герольдией не утвержден. Этот род пишется также Гриневичи-Яцковские. 3) От Михаила Гринева и его внуков Петра и Никифора Филипповичей; записан в VI часть родословной книги Орловской губернии, но Герольдией перенесен в III часть родословной книги. Имеется еще несколько дворянских родов Гриневичей более позднего происхождения. В. Р-в.</w:t>
      </w:r>
    </w:p>
    <w:p w:rsidR="00FF775B" w:rsidRDefault="00FF775B" w:rsidP="00FF775B"/>
    <w:p w:rsidR="00FF775B" w:rsidRDefault="00FF775B" w:rsidP="00FF775B">
      <w:r>
        <w:t>Лаппо, дворянские роды</w:t>
      </w:r>
    </w:p>
    <w:p w:rsidR="00FF775B" w:rsidRDefault="00FF775B" w:rsidP="00FF775B">
      <w:r>
        <w:t>— два литовских дворянских рода, гербов Крживда и Лада, из которых один восходит к началу XVII века и внесен в VI часть родословной книги Минской губернии. Есть род Л.-Данилевских, малороссийского происхождения.</w:t>
      </w:r>
    </w:p>
    <w:p w:rsidR="00FF775B" w:rsidRDefault="00FF775B" w:rsidP="00FF775B"/>
    <w:p w:rsidR="00FF775B" w:rsidRDefault="00FF775B" w:rsidP="00FF775B">
      <w:r>
        <w:t>Забелло - литовский дворянский род, герба Топор, восходящий к XVI в. и разделившийся на четыре ветви, внесенные в VI и I части родословных книг Виленской, Гродненской, Ковенской и Минской губернии. Одна из них с начала XVIII в. почти непрерывно имела представителей в польском сенате. Иосиф Забелла, ловчий великий литовский и маршал генеральной конфедерации литовской, в 1793 г. назначен литовским гетманом польным, а 4 мая 1794 г. повешен чернью в Варшаве, за приверженность к России. Существует еще род Забеллы, герба Мзура, восходящий к началу XVIII в. В. Р.</w:t>
      </w:r>
    </w:p>
    <w:p w:rsidR="00FF775B" w:rsidRDefault="00FF775B" w:rsidP="00FF775B"/>
    <w:p w:rsidR="00FF775B" w:rsidRDefault="00FF775B" w:rsidP="00FF775B">
      <w:r>
        <w:t>Булгарины - старинный дворянский род, происходящий от севского часника Василия Григорьевича, жившего в конце XVI и начале XVII вв., и записанный в VI часть родословной книги Минской губернии. Из этого рода происходил Фаддей Бенедиктович Булгарин (1789 - 1859), имевший единственного сына Мечислава-Казимира. Есть еще другой дворянский род Булгариных, восходящий к самому концу XVII в. и записанный в VI часть родословной книги Гродненской губернии. В. В-в.</w:t>
      </w:r>
    </w:p>
    <w:p w:rsidR="00FF775B" w:rsidRDefault="00FF775B" w:rsidP="00FF775B"/>
    <w:p w:rsidR="00FF775B" w:rsidRDefault="00FF775B" w:rsidP="00FF775B">
      <w:r>
        <w:lastRenderedPageBreak/>
        <w:t>Высоцкие</w:t>
      </w:r>
    </w:p>
    <w:p w:rsidR="00FF775B" w:rsidRDefault="00FF775B" w:rsidP="00FF775B">
      <w:r>
        <w:t>- 40 русских и польских дворянских родов. — Родоначальником первогo из них был Автоном Высоцкий, владевший в конце XVI века поместьями и Галичском уезде. Внук его, костромской городовой дворянин Василий Иванович, убит при осаде Смоленска в 1634 году; его внуки Василий, Яков и Борис Матвеевичи были стольниками Петра Великого. Потомство последнего из них внесено в VI часть родословной книги Московской и Херсонской губерний ("Гербовник", VII, 52). Второй род В. происходит от дворянина московского Кирилла Евсевьевича Высоцкого, пожалованного вотчинами за участие в войне с Польшею и Турциею (1682-1685). Его потомство внесено в VI часть родословной книги Тверской губернии. Третий род В., герба Годземба, происходит от Збигнева В., кастеляна Роспирского в начале XVI века; он разделился в XVII веке на шесть ветвей, внесенных в VI часть родословной книги Гродненской, Виленской, Волынской, Киевской, Минской, Могилевской и Смоленской губерний. Четвертый род В., герба Дрыя, происходит от Моисея В., помещика Лидского уезда (1632). Его потомство, разделившееся на две ветви, внесено в I часть родословной книги Виленской и Минской губерний. Пятый род В., герба Одровонж, происходит от Вацлава В., помещика Ошмянского уезда; он разделился на четыре ветви, внесенные в VI и I части родословной книги Витебской, Гродненской и Минской губерний. Шестой род В.-Горных, герба Остоя, происходит от Якова В., помещика Люблинского воеводства (1717). Его потомки внесены в VI часть родословной книги Гродненской губ. Седьмой род В., герба Бонча, происходит от помещика Житомирского уезда Антона Марцеллиевича В. (1721). Его потомство внесено в I часть родословной книги Волынской губерний. Родоначальником восьмого рода был мечник волынский (1605) Тимофей В.; его потомство внесено в VI часть родословной книги Волынской губерний. Девятый род происходит от ротмистра Станислава В., владевшего поместьями в 1710 году. Его потомство внесено в VI часть родословной книги Волынской губернии. Родоначальник десятого рода В.-К</w:t>
      </w:r>
      <w:r w:rsidR="00364363">
        <w:t>о</w:t>
      </w:r>
      <w:r>
        <w:t>рженевичей был хорунжий Стефан (1652), владевший поместьями в Пинском уезде. Его потомство внесено в VI часть родословной книги Минской губернии. Остальные роды Высоцких принадлежат к новому дворянству и внесены в I, II и III части родословной книги губерний Волынской, Гродненской, Казанской, Калужской, Московской (3 рода), Новгородской, Орловской, Полтавской (4 рода), Симбирской, Смоленской (4 рода), Таврической, Тамбовской, Харьковской, Херсонской и Черниговской (3 рода) губерний.</w:t>
      </w:r>
    </w:p>
    <w:p w:rsidR="00FF775B" w:rsidRDefault="00FF775B" w:rsidP="00FF775B"/>
    <w:p w:rsidR="00FF775B" w:rsidRDefault="00FF775B" w:rsidP="00FF775B">
      <w:r>
        <w:t xml:space="preserve">Зиновьевы - русские дворянские роды. Литовский дворянин Александр Зенович, потомок Деспотов-Зеновичей, выехал в 1392 г. из Литвы в Москву. Многие из его потомков были стольниками, стряпчими, воеводами. Степан Степанович Зиновьев (умер в 1764 г.) был при Екатерине II посланником в Испании. Николай Иванович Зиновьев (1706 - 1773) был генерал-полицеймейстером в Санкт-Петербурге, а затем сенатором. Род Зиновьевых внесен в VI часть родословных книг Санкт-Петербургской, Новгородской, Орловской и Полтавской губерний (Гербовник, I, 49). Другие роды Зиновьевых, числом 19, позднейшего происхождения. Деспот-Зенович - литовский дворянский род, герба Зенович. Предок их Братош и сын его Зиновий упоминаются в 1401 г. в числе литовских вельмож, подписавших акт о верности польскому королю. Внук Зиновия, Юрий Иванович Зенович, был в 1507 г. наместником смоленским. В XVI в. двое Деспот-Зеновичей были каштелянами смоленскими и один воеводой брестским. Приставку “Деспот” род этот принял в конце XVII в., когда появилась легенда о происхождении его от деспотов сербских. Род Деспот-Зеновичей внесен </w:t>
      </w:r>
      <w:r>
        <w:lastRenderedPageBreak/>
        <w:t>в VI часть родословной книги Минской губернии. Одна ветвь этого рода переселилась еще в конце XV в. в Россию, где фамилия ее получила форму Зиновьевы .</w:t>
      </w:r>
    </w:p>
    <w:p w:rsidR="00FF775B" w:rsidRDefault="00FF775B" w:rsidP="00FF775B"/>
    <w:p w:rsidR="00FF775B" w:rsidRDefault="00FF775B" w:rsidP="00FF775B">
      <w:r>
        <w:t>Вере́нич-Стахо́вские (польск. Werenicze-Stachowscy,белор. Вярэнiч-Стахоўскіе) — старинный белорусский и польский дворянский род род герба Огоньчик, известный с XV века на землях бывшего Турово-Пинского княжества. В утверждённом Минским Дворянским Депутатским собранием выводе шляхетства фамилии урождённых Веренич-Стаховских от 22 ноября 1802 года в качестве родоначальников двух ветвей рода указаны пинские бояре XV века Димитр и Семен Вереничи, владевшие землями в околицах сел Стахово и Дубой пинского повета Великого Княжества Литовского на основании привилея пинских князей из рода Олельковичей.[2].В том же году род был записан в VI части Родословной книги Минской губернии.</w:t>
      </w:r>
    </w:p>
    <w:p w:rsidR="00FF775B" w:rsidRDefault="00FF775B" w:rsidP="00FF775B"/>
    <w:p w:rsidR="00FF775B" w:rsidRDefault="00FF775B" w:rsidP="00FF775B">
      <w:r>
        <w:t xml:space="preserve">Гюббенет, дворянский род </w:t>
      </w:r>
    </w:p>
    <w:p w:rsidR="00FF775B" w:rsidRDefault="00FF775B" w:rsidP="00FF775B">
      <w:r>
        <w:t xml:space="preserve">- русский дворянский род. Предок их, Густав Г., майор французской службы, переселился в середине XVII в. в Литву. Род этот внесен в VI часть родословной книги Ковенской и во II - Минской губернии. К нему принадлежит бывший министр путей сообщения Адольф Яковлевич фон Г. </w:t>
      </w:r>
    </w:p>
    <w:p w:rsidR="00541F57" w:rsidRDefault="00541F57" w:rsidP="00B63C73">
      <w:pPr>
        <w:spacing w:line="240" w:lineRule="auto"/>
        <w:rPr>
          <w:rFonts w:ascii="Times New Roman" w:hAnsi="Times New Roman" w:cs="Times New Roman"/>
          <w:i/>
          <w:sz w:val="24"/>
          <w:szCs w:val="24"/>
        </w:rPr>
      </w:pPr>
    </w:p>
    <w:sectPr w:rsidR="00541F57" w:rsidSect="003C4023">
      <w:headerReference w:type="default" r:id="rId8"/>
      <w:footerReference w:type="default" r:id="rId9"/>
      <w:pgSz w:w="11906" w:h="16838"/>
      <w:pgMar w:top="284" w:right="127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FE1" w:rsidRDefault="00B42FE1" w:rsidP="00FC1AC9">
      <w:pPr>
        <w:spacing w:after="0" w:line="240" w:lineRule="auto"/>
      </w:pPr>
      <w:r>
        <w:separator/>
      </w:r>
    </w:p>
  </w:endnote>
  <w:endnote w:type="continuationSeparator" w:id="1">
    <w:p w:rsidR="00B42FE1" w:rsidRDefault="00B42FE1" w:rsidP="00FC1A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CC6" w:rsidRPr="00CC442C" w:rsidRDefault="00D61142">
    <w:pPr>
      <w:pStyle w:val="a7"/>
      <w:rPr>
        <w:rFonts w:ascii="Times New Roman" w:hAnsi="Times New Roman" w:cs="Times New Roman"/>
        <w:i/>
      </w:rPr>
    </w:pPr>
    <w:r>
      <w:rPr>
        <w:noProof/>
        <w:lang w:eastAsia="ru-RU"/>
      </w:rPr>
      <w:drawing>
        <wp:anchor distT="0" distB="0" distL="114300" distR="114300" simplePos="0" relativeHeight="251657216" behindDoc="0" locked="0" layoutInCell="1" allowOverlap="1">
          <wp:simplePos x="0" y="0"/>
          <wp:positionH relativeFrom="column">
            <wp:posOffset>2898140</wp:posOffset>
          </wp:positionH>
          <wp:positionV relativeFrom="paragraph">
            <wp:posOffset>-359410</wp:posOffset>
          </wp:positionV>
          <wp:extent cx="386715" cy="1012190"/>
          <wp:effectExtent l="323850" t="0" r="318135" b="0"/>
          <wp:wrapThrough wrapText="bothSides">
            <wp:wrapPolygon edited="0">
              <wp:start x="-443" y="21837"/>
              <wp:lineTo x="20837" y="21837"/>
              <wp:lineTo x="20837" y="-115"/>
              <wp:lineTo x="-443" y="-115"/>
              <wp:lineTo x="-443" y="21837"/>
            </wp:wrapPolygon>
          </wp:wrapThrough>
          <wp:docPr id="2" name="Рисунок 2" descr="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Untitled-1.jpg"/>
                  <pic:cNvPicPr>
                    <a:picLocks noChangeAspect="1" noChangeArrowheads="1"/>
                  </pic:cNvPicPr>
                </pic:nvPicPr>
                <pic:blipFill>
                  <a:blip r:embed="rId1"/>
                  <a:srcRect/>
                  <a:stretch>
                    <a:fillRect/>
                  </a:stretch>
                </pic:blipFill>
                <pic:spPr bwMode="auto">
                  <a:xfrm rot="5400000">
                    <a:off x="0" y="0"/>
                    <a:ext cx="386715" cy="1012190"/>
                  </a:xfrm>
                  <a:prstGeom prst="rect">
                    <a:avLst/>
                  </a:prstGeom>
                  <a:noFill/>
                  <a:ln w="9525">
                    <a:noFill/>
                    <a:miter lim="800000"/>
                    <a:headEnd/>
                    <a:tailEnd/>
                  </a:ln>
                </pic:spPr>
              </pic:pic>
            </a:graphicData>
          </a:graphic>
        </wp:anchor>
      </w:drawing>
    </w:r>
    <w:r w:rsidR="00FF775B">
      <w:rPr>
        <w:rFonts w:ascii="Times New Roman" w:hAnsi="Times New Roman" w:cs="Times New Roman"/>
        <w:i/>
        <w:sz w:val="24"/>
        <w:szCs w:val="24"/>
      </w:rPr>
      <w:t xml:space="preserve">Дворяне            </w:t>
    </w:r>
    <w:r w:rsidR="00416CC6">
      <w:rPr>
        <w:rFonts w:ascii="Times New Roman" w:hAnsi="Times New Roman" w:cs="Times New Roman"/>
        <w:i/>
        <w:sz w:val="24"/>
        <w:szCs w:val="24"/>
      </w:rPr>
      <w:t xml:space="preserve">                                                   </w:t>
    </w:r>
    <w:r w:rsidR="00416CC6" w:rsidRPr="00CC442C">
      <w:rPr>
        <w:rFonts w:ascii="Times New Roman" w:hAnsi="Times New Roman" w:cs="Times New Roman"/>
        <w:i/>
        <w:sz w:val="24"/>
        <w:szCs w:val="24"/>
      </w:rPr>
      <w:t xml:space="preserve">     </w:t>
    </w:r>
    <w:r w:rsidR="00416CC6" w:rsidRPr="00CC442C">
      <w:rPr>
        <w:rFonts w:ascii="Times New Roman" w:hAnsi="Times New Roman" w:cs="Times New Roman"/>
        <w:i/>
      </w:rPr>
      <w:t xml:space="preserve">                             </w:t>
    </w:r>
    <w:r w:rsidR="00416CC6">
      <w:rPr>
        <w:rFonts w:ascii="Times New Roman" w:hAnsi="Times New Roman" w:cs="Times New Roman"/>
        <w:i/>
      </w:rPr>
      <w:t xml:space="preserve">                                                   </w:t>
    </w:r>
    <w:r w:rsidR="00BC468C" w:rsidRPr="00CC442C">
      <w:rPr>
        <w:rFonts w:ascii="Times New Roman" w:hAnsi="Times New Roman" w:cs="Times New Roman"/>
        <w:i/>
      </w:rPr>
      <w:fldChar w:fldCharType="begin"/>
    </w:r>
    <w:r w:rsidR="00416CC6" w:rsidRPr="00CC442C">
      <w:rPr>
        <w:rFonts w:ascii="Times New Roman" w:hAnsi="Times New Roman" w:cs="Times New Roman"/>
        <w:i/>
      </w:rPr>
      <w:instrText xml:space="preserve"> PAGE   \* MERGEFORMAT </w:instrText>
    </w:r>
    <w:r w:rsidR="00BC468C" w:rsidRPr="00CC442C">
      <w:rPr>
        <w:rFonts w:ascii="Times New Roman" w:hAnsi="Times New Roman" w:cs="Times New Roman"/>
        <w:i/>
      </w:rPr>
      <w:fldChar w:fldCharType="separate"/>
    </w:r>
    <w:r w:rsidR="00364363">
      <w:rPr>
        <w:rFonts w:ascii="Times New Roman" w:hAnsi="Times New Roman" w:cs="Times New Roman"/>
        <w:i/>
        <w:noProof/>
      </w:rPr>
      <w:t>4</w:t>
    </w:r>
    <w:r w:rsidR="00BC468C" w:rsidRPr="00CC442C">
      <w:rPr>
        <w:rFonts w:ascii="Times New Roman" w:hAnsi="Times New Roman" w:cs="Times New Roman"/>
        <w:i/>
      </w:rPr>
      <w:fldChar w:fldCharType="end"/>
    </w:r>
  </w:p>
  <w:p w:rsidR="00416CC6" w:rsidRPr="00CC442C" w:rsidRDefault="00416CC6" w:rsidP="00CC442C">
    <w:pPr>
      <w:pStyle w:val="a7"/>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FE1" w:rsidRDefault="00B42FE1" w:rsidP="00FC1AC9">
      <w:pPr>
        <w:spacing w:after="0" w:line="240" w:lineRule="auto"/>
      </w:pPr>
      <w:r>
        <w:separator/>
      </w:r>
    </w:p>
  </w:footnote>
  <w:footnote w:type="continuationSeparator" w:id="1">
    <w:p w:rsidR="00B42FE1" w:rsidRDefault="00B42FE1" w:rsidP="00FC1A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CC6" w:rsidRDefault="00D61142" w:rsidP="00A45A26">
    <w:pPr>
      <w:pStyle w:val="a5"/>
      <w:rPr>
        <w:szCs w:val="24"/>
      </w:rPr>
    </w:pPr>
    <w:r>
      <w:rPr>
        <w:noProof/>
        <w:lang w:eastAsia="ru-RU"/>
      </w:rPr>
      <w:drawing>
        <wp:anchor distT="0" distB="0" distL="114300" distR="114300" simplePos="0" relativeHeight="251658240" behindDoc="1" locked="0" layoutInCell="1" allowOverlap="1">
          <wp:simplePos x="0" y="0"/>
          <wp:positionH relativeFrom="column">
            <wp:posOffset>17145</wp:posOffset>
          </wp:positionH>
          <wp:positionV relativeFrom="paragraph">
            <wp:posOffset>3175</wp:posOffset>
          </wp:positionV>
          <wp:extent cx="615950" cy="445770"/>
          <wp:effectExtent l="19050" t="0" r="0" b="0"/>
          <wp:wrapNone/>
          <wp:docPr id="1" name="Рисунок 9" descr="4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4n.jpg"/>
                  <pic:cNvPicPr>
                    <a:picLocks noChangeAspect="1" noChangeArrowheads="1"/>
                  </pic:cNvPicPr>
                </pic:nvPicPr>
                <pic:blipFill>
                  <a:blip r:embed="rId1"/>
                  <a:srcRect/>
                  <a:stretch>
                    <a:fillRect/>
                  </a:stretch>
                </pic:blipFill>
                <pic:spPr bwMode="auto">
                  <a:xfrm>
                    <a:off x="0" y="0"/>
                    <a:ext cx="615950" cy="445770"/>
                  </a:xfrm>
                  <a:prstGeom prst="rect">
                    <a:avLst/>
                  </a:prstGeom>
                  <a:noFill/>
                  <a:ln w="9525">
                    <a:noFill/>
                    <a:miter lim="800000"/>
                    <a:headEnd/>
                    <a:tailEnd/>
                  </a:ln>
                </pic:spPr>
              </pic:pic>
            </a:graphicData>
          </a:graphic>
        </wp:anchor>
      </w:drawing>
    </w:r>
    <w:r w:rsidR="00416CC6">
      <w:rPr>
        <w:szCs w:val="24"/>
      </w:rPr>
      <w:t xml:space="preserve">                         </w:t>
    </w:r>
  </w:p>
  <w:p w:rsidR="00416CC6" w:rsidRDefault="00416CC6" w:rsidP="00A45A26">
    <w:pPr>
      <w:pStyle w:val="a5"/>
      <w:rPr>
        <w:rFonts w:ascii="Times New Roman" w:hAnsi="Times New Roman" w:cs="Times New Roman"/>
        <w:i/>
        <w:sz w:val="24"/>
        <w:szCs w:val="24"/>
      </w:rPr>
    </w:pPr>
    <w:r w:rsidRPr="00A45A26">
      <w:rPr>
        <w:rFonts w:ascii="Times New Roman" w:hAnsi="Times New Roman" w:cs="Times New Roman"/>
        <w:i/>
        <w:szCs w:val="24"/>
      </w:rPr>
      <w:t xml:space="preserve">            </w:t>
    </w:r>
    <w:r>
      <w:rPr>
        <w:rFonts w:ascii="Times New Roman" w:hAnsi="Times New Roman" w:cs="Times New Roman"/>
        <w:i/>
        <w:szCs w:val="24"/>
      </w:rPr>
      <w:t xml:space="preserve"> </w:t>
    </w:r>
    <w:r w:rsidRPr="00A45A26">
      <w:rPr>
        <w:rFonts w:ascii="Times New Roman" w:hAnsi="Times New Roman" w:cs="Times New Roman"/>
        <w:i/>
        <w:szCs w:val="24"/>
      </w:rPr>
      <w:t xml:space="preserve">  </w:t>
    </w:r>
    <w:r>
      <w:rPr>
        <w:rFonts w:ascii="Times New Roman" w:hAnsi="Times New Roman" w:cs="Times New Roman"/>
        <w:i/>
        <w:szCs w:val="24"/>
      </w:rPr>
      <w:t xml:space="preserve"> </w:t>
    </w:r>
    <w:r w:rsidRPr="00A45A26">
      <w:rPr>
        <w:rFonts w:ascii="Times New Roman" w:hAnsi="Times New Roman" w:cs="Times New Roman"/>
        <w:i/>
        <w:sz w:val="24"/>
        <w:szCs w:val="24"/>
      </w:rPr>
      <w:t>акануне</w:t>
    </w:r>
    <w:r>
      <w:rPr>
        <w:rFonts w:ascii="Times New Roman" w:hAnsi="Times New Roman" w:cs="Times New Roman"/>
        <w:i/>
        <w:sz w:val="24"/>
        <w:szCs w:val="24"/>
      </w:rPr>
      <w:t xml:space="preserve">                                                                                «А в это время Бонапарт…»</w:t>
    </w:r>
  </w:p>
  <w:p w:rsidR="00416CC6" w:rsidRPr="00A45A26" w:rsidRDefault="00416CC6" w:rsidP="00A45A26">
    <w:pPr>
      <w:pStyle w:val="a5"/>
      <w:rPr>
        <w:rFonts w:ascii="Times New Roman" w:hAnsi="Times New Roman" w:cs="Times New Roman"/>
        <w:i/>
        <w:sz w:val="24"/>
        <w:szCs w:val="24"/>
      </w:rPr>
    </w:pPr>
  </w:p>
  <w:p w:rsidR="00416CC6" w:rsidRPr="00A45A26" w:rsidRDefault="00416CC6" w:rsidP="00A45A26">
    <w:pPr>
      <w:pStyle w:val="a5"/>
      <w:rPr>
        <w:rFonts w:ascii="Times New Roman" w:hAnsi="Times New Roman" w:cs="Times New Roman"/>
        <w:i/>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D5D91"/>
    <w:multiLevelType w:val="hybridMultilevel"/>
    <w:tmpl w:val="BF6C4B7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08"/>
  <w:characterSpacingControl w:val="doNotCompress"/>
  <w:hdrShapeDefaults>
    <o:shapedefaults v:ext="edit" spidmax="7170"/>
  </w:hdrShapeDefaults>
  <w:footnotePr>
    <w:footnote w:id="0"/>
    <w:footnote w:id="1"/>
  </w:footnotePr>
  <w:endnotePr>
    <w:endnote w:id="0"/>
    <w:endnote w:id="1"/>
  </w:endnotePr>
  <w:compat/>
  <w:rsids>
    <w:rsidRoot w:val="00063087"/>
    <w:rsid w:val="00013D82"/>
    <w:rsid w:val="00063087"/>
    <w:rsid w:val="00125AA9"/>
    <w:rsid w:val="0016679B"/>
    <w:rsid w:val="0021766C"/>
    <w:rsid w:val="00236861"/>
    <w:rsid w:val="00287B4B"/>
    <w:rsid w:val="002D2C4E"/>
    <w:rsid w:val="002D77D6"/>
    <w:rsid w:val="00364363"/>
    <w:rsid w:val="003C4023"/>
    <w:rsid w:val="00416CC6"/>
    <w:rsid w:val="004829BB"/>
    <w:rsid w:val="00541F57"/>
    <w:rsid w:val="006F5514"/>
    <w:rsid w:val="006F5639"/>
    <w:rsid w:val="007A0F6D"/>
    <w:rsid w:val="008C33DC"/>
    <w:rsid w:val="00974057"/>
    <w:rsid w:val="009F73F0"/>
    <w:rsid w:val="00A01119"/>
    <w:rsid w:val="00A45A26"/>
    <w:rsid w:val="00A54D82"/>
    <w:rsid w:val="00A6072F"/>
    <w:rsid w:val="00AC3EC2"/>
    <w:rsid w:val="00AC45C5"/>
    <w:rsid w:val="00B4281C"/>
    <w:rsid w:val="00B42FE1"/>
    <w:rsid w:val="00B63C73"/>
    <w:rsid w:val="00B65109"/>
    <w:rsid w:val="00BB6E64"/>
    <w:rsid w:val="00BC468C"/>
    <w:rsid w:val="00C2513E"/>
    <w:rsid w:val="00C251C3"/>
    <w:rsid w:val="00CB5C10"/>
    <w:rsid w:val="00CC442C"/>
    <w:rsid w:val="00D61058"/>
    <w:rsid w:val="00D61142"/>
    <w:rsid w:val="00DD3B41"/>
    <w:rsid w:val="00DE008E"/>
    <w:rsid w:val="00DE6788"/>
    <w:rsid w:val="00E65B2D"/>
    <w:rsid w:val="00E76953"/>
    <w:rsid w:val="00F15C13"/>
    <w:rsid w:val="00F42CBE"/>
    <w:rsid w:val="00F44FAD"/>
    <w:rsid w:val="00FA605B"/>
    <w:rsid w:val="00FC1AC9"/>
    <w:rsid w:val="00FD4C73"/>
    <w:rsid w:val="00FF633D"/>
    <w:rsid w:val="00FF77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639"/>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63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FF633D"/>
    <w:rPr>
      <w:rFonts w:ascii="Tahoma" w:hAnsi="Tahoma" w:cs="Tahoma"/>
      <w:sz w:val="16"/>
      <w:szCs w:val="16"/>
    </w:rPr>
  </w:style>
  <w:style w:type="paragraph" w:styleId="a5">
    <w:name w:val="header"/>
    <w:basedOn w:val="a"/>
    <w:link w:val="a6"/>
    <w:uiPriority w:val="99"/>
    <w:unhideWhenUsed/>
    <w:rsid w:val="00FC1AC9"/>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FC1AC9"/>
    <w:rPr>
      <w:rFonts w:cs="Times New Roman"/>
    </w:rPr>
  </w:style>
  <w:style w:type="paragraph" w:styleId="a7">
    <w:name w:val="footer"/>
    <w:basedOn w:val="a"/>
    <w:link w:val="a8"/>
    <w:uiPriority w:val="99"/>
    <w:unhideWhenUsed/>
    <w:rsid w:val="00FC1AC9"/>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FC1AC9"/>
    <w:rPr>
      <w:rFonts w:cs="Times New Roman"/>
    </w:rPr>
  </w:style>
  <w:style w:type="paragraph" w:styleId="a9">
    <w:name w:val="List Paragraph"/>
    <w:basedOn w:val="a"/>
    <w:uiPriority w:val="34"/>
    <w:qFormat/>
    <w:rsid w:val="00F42CBE"/>
    <w:pPr>
      <w:ind w:left="720"/>
      <w:contextualSpacing/>
    </w:pPr>
  </w:style>
  <w:style w:type="character" w:styleId="aa">
    <w:name w:val="Hyperlink"/>
    <w:basedOn w:val="a0"/>
    <w:uiPriority w:val="99"/>
    <w:unhideWhenUsed/>
    <w:rsid w:val="007A0F6D"/>
    <w:rPr>
      <w:rFonts w:cs="Times New Roman"/>
      <w:color w:val="0000FF" w:themeColor="hyperlink"/>
      <w:u w:val="single"/>
    </w:rPr>
  </w:style>
  <w:style w:type="character" w:styleId="ab">
    <w:name w:val="FollowedHyperlink"/>
    <w:basedOn w:val="a0"/>
    <w:uiPriority w:val="99"/>
    <w:semiHidden/>
    <w:unhideWhenUsed/>
    <w:rsid w:val="007A0F6D"/>
    <w:rPr>
      <w:rFonts w:cs="Times New Roman"/>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B7FFA-430F-4027-86B2-E37261F4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1733</Words>
  <Characters>9883</Characters>
  <Application>Microsoft Office Word</Application>
  <DocSecurity>0</DocSecurity>
  <Lines>82</Lines>
  <Paragraphs>23</Paragraphs>
  <ScaleCrop>false</ScaleCrop>
  <Company>TSP</Company>
  <LinksUpToDate>false</LinksUpToDate>
  <CharactersWithSpaces>11593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genya</dc:creator>
  <cp:keywords/>
  <dc:description/>
  <cp:lastModifiedBy>HomeUser</cp:lastModifiedBy>
  <cp:revision>2</cp:revision>
  <cp:lastPrinted>2008-11-21T14:32:00Z</cp:lastPrinted>
  <dcterms:created xsi:type="dcterms:W3CDTF">2008-12-07T12:43:00Z</dcterms:created>
  <dcterms:modified xsi:type="dcterms:W3CDTF">2008-12-07T12:43:00Z</dcterms:modified>
</cp:coreProperties>
</file>